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6C" w:rsidRPr="0045066C" w:rsidRDefault="0045066C" w:rsidP="0045066C">
      <w:pPr>
        <w:shd w:val="clear" w:color="auto" w:fill="FFFFFF"/>
        <w:spacing w:after="0" w:line="285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45066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Во всем мире все чаще используются возобновляемые источники энергии, такие как древесина и другие растительные материалы, поставляемые в виде топливных брикетов.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</w:pPr>
      <w:r w:rsidRPr="0045066C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 отличие от традиционных березовых дров для производства брикетов используются современные технологии, основанные на измельчении материала в однородную массу и последующем прессовании при очень высоком давлении, в результате чего получаются брикеты, иначе называемые биотопливом.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cut"/>
      <w:bookmarkEnd w:id="0"/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Биотопливо можно изготавливать не только из древесных отходов, но также из лузги подсолнечника, соломы, торфа и даже водорослей. Экономическая эффективность, отдача энергии и общий КПД у них настолько хороши, что использовать это топливо можно где угодно - в котельных, на электростанциях, для отопления домов и т.д.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Прочность брикетам придается в результате расплавления лигнина, вещества содержащегося в составе любого растения. При прессовании лигнин расплавляется и связывает частички древесины топливного брикета или древесной гранулы.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Топливные брикеты очень похожи на обычные дрова, и иногда даже называются «евродровами». Длина - 25 см. Диаметр – менее 10 см. Поставляются в пачках по 12 штук. По 96 пачек на 1 поддоне, что составляет 1 тонну.</w:t>
      </w:r>
    </w:p>
    <w:p w:rsidR="0045066C" w:rsidRPr="0045066C" w:rsidRDefault="0045066C" w:rsidP="0045066C">
      <w:pPr>
        <w:shd w:val="clear" w:color="auto" w:fill="FFFFFF"/>
        <w:spacing w:before="375" w:after="75" w:line="285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45066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СЫРЬЕ ДЛЯ ПРОИЗВОДСТВА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Сырьем для производства «евродров» являются практически любая форма отходов деревообрабатывающей промышленности, мебельного производства, лесозаготовки, отходы коммунального хозяйства и т.д.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Наиболее распространенным сырьем являются опилки, деревянная стружка, листва, крупные отходы, в том числе: горбыль, обзол, кусковые отходы, балансы и стволы различных пород и т.д.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Основным сырьем предлагаемого проекта будут служить отходы коммунального хозяйства Москвы и Московской области. Преимуществом проекта заключается в том, что сырье является воспроизводимым из года в год.</w:t>
      </w:r>
    </w:p>
    <w:p w:rsidR="0045066C" w:rsidRPr="0045066C" w:rsidRDefault="0045066C" w:rsidP="0045066C">
      <w:pPr>
        <w:shd w:val="clear" w:color="auto" w:fill="FFFFFF"/>
        <w:spacing w:before="375" w:after="75" w:line="285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45066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ЛИГНИН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Топливные брикеты - это достаточно высокотехнологичный продукт. Однако простому биотоплива для отопления очень популярно и всячески поощряется на государственном уровне.</w:t>
      </w:r>
    </w:p>
    <w:p w:rsidR="0045066C" w:rsidRPr="0045066C" w:rsidRDefault="0045066C" w:rsidP="0045066C">
      <w:pPr>
        <w:shd w:val="clear" w:color="auto" w:fill="FFFFFF"/>
        <w:spacing w:before="375" w:after="75" w:line="285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45066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СЕГМЕНТАЦИЯ СБЫТА</w:t>
      </w:r>
    </w:p>
    <w:p w:rsidR="0045066C" w:rsidRPr="0045066C" w:rsidRDefault="0045066C" w:rsidP="0045066C">
      <w:pPr>
        <w:shd w:val="clear" w:color="auto" w:fill="FFFFFF"/>
        <w:spacing w:before="300" w:after="0" w:line="240" w:lineRule="atLeast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45066C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Частный сектор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Популярность брикетов в качестве "домашнего" топлива обусловлена тем, что такое тепло воспринимается как более приятное, чем тепло, получаемое из угля или природного газа. Спрос на топливные брикеты в странах Европы постоянно высокий и нет предпосылок к его насыщению. При этом брикеты, выполненные методом шнекового прессования, более предпочтительны у покупателей по сравнению с простой прессовкой.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ближайшее время увеличение спроса на топливные брикеты докатится и до российских просторов. В России этот рынок уже активно формируется и вскоре начнет активно расширяться. Связано это с тем, что топливные брикеты используются для отопления коттеджей, а в России, особенно в Москве, средний класс </w:t>
      </w: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начинает обзаводиться загородным жильем или переезжает на ПМЖ в загородные дома. Многие уже знают о том, что коттеджи можно отапливать посредством каминов, котлов на древесных отходах, и готовы это оборудование покупать.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Европе подобный способ отопления домов – уже обычное дело, и во всех крупных супермаркетах продаются гранулы в упаковке разного объема.</w:t>
      </w:r>
    </w:p>
    <w:p w:rsidR="0045066C" w:rsidRPr="0045066C" w:rsidRDefault="0045066C" w:rsidP="0045066C">
      <w:pPr>
        <w:shd w:val="clear" w:color="auto" w:fill="FFFFFF"/>
        <w:spacing w:before="300" w:after="0" w:line="240" w:lineRule="atLeast"/>
        <w:outlineLvl w:val="2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45066C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Промышленность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Отдельное направление сбыта топливных брикетов – предприятия коммунального хозяйства, асфальто-бетонные производства, сельскохозяйственные комбинаты, птицефабрики, и т.д. Фактически любое предприятие, использующее твердое топливо, для обогрева помещений, пароснабжения, технологических нужд, может перейти на использование топливных брикетов.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Выгоды от такого перехода очевидны: снижение затрат на топливо, улучшение экологической обстановки, снижение затрат на транспортировку и хранение и т.д.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Стоит так же учитывать постоянно увеличивающиеся инвестиции в переоборудование муниципальных котелен, устаревшее и малоэффективное оборудование которых может быть заменено на оборудование позволяющее использовать топливные брикеты.</w:t>
      </w:r>
    </w:p>
    <w:p w:rsidR="0045066C" w:rsidRPr="0045066C" w:rsidRDefault="0045066C" w:rsidP="0045066C">
      <w:pPr>
        <w:shd w:val="clear" w:color="auto" w:fill="FFFFFF"/>
        <w:spacing w:before="375" w:after="75" w:line="285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45066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ТЕХНОЛОГИЯ ПРОИЗВОДСТВА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Требования к сырью. Исходное сырье обязательно должно отвечать следующим технологическим требованиям: фракция не более 3 мм, влажность в диапазоне 8-12%. Большинство опилок и щепок не удовлетворяют указанным условиям, т.к. имеют широкодисперсную фракцию и более высокий уровень естественной влажности. Из этого следует, что материал предварительно следует дополнительно измельчить и осушить.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Измельчение крупных отходов. Для измельчения крупных отходов предназначена рубильная машина типа 5Р-РМ. Древесина поступает в приемное окно механизма подачи, захватывается зубчатыми вальцами и поступает в зону резания. В зоне резания ножи вращающегося барабана отделяют от слоя древесиы щепу и выносят ее на решетку. Часть щепы проходит через ячейки решетки и эвакуируется в накопительные емкости. Крупные частицы, не прошедшие через ячейки, возвращаются в зону резания на доизмельчение. На выходе рубительной машины получается щепа размерами 10….35/20/5 мм.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Размер щепы можно менять за счет установки разных сит.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Подача отходов к рубильной механизирована при помощи штатного ленточного транспортера. Предусмотрен отвод щепы.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Доизмельчение и сушка происходит в аэродинамической сушилке-измельчителе АС-3. Уникальность данной установки в том, что при значительно меньшем суммарном энергопотреблении, в ней происходит одновременно два процесса: сушка и доизмельчение. На выходе образуется идеальная для брикетирования фракция, размер которой можно регулировать и довести вплоть до 1 миллиметра.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Теплогенератор. Для работы сушки необходима подача горячего воздуха – теплоагента. Теплогенератор работает на древесных отходах естественной влажности (опил, щепа), которые дозировано подаются из бункера. Альтернативой является работа на дровах.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Процесс горения регулируется и температура поддерживается автоматически. Теплогенератор представляет собой сложное устройство, оборудованное системой искрогашения и которое должно подавать в сушилку заданное количество брикетов.</w:t>
      </w:r>
    </w:p>
    <w:p w:rsidR="0045066C" w:rsidRPr="0045066C" w:rsidRDefault="0045066C" w:rsidP="0045066C">
      <w:pPr>
        <w:shd w:val="clear" w:color="auto" w:fill="FFFFFF"/>
        <w:spacing w:before="375" w:after="75" w:line="285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45066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ШТАТНЫЙ ПЕРСОНАЛ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Потребность в трудовых ресурсах, необходимых для нормального функционирования комплекса по производству топливных брикетов, определена исходя из объемов производства, количества и режима работы оборудования в соответствии с действующими нормами времени и нормативами его обслуживания, а также режимом и организацией труда промышленного персонала.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Явочная численность трудящихся в основных и вспомогательных производствах определена в соответствии с расстановкой персонала по рабочим местам, согласно существующим технологическим регламентам и опыта работы аналогичных предприятий.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Режим работы основных и вспомогательных подразделений комплекса определен особенностями технологических процессов и объемами выполняемых работ. По данным технологической и других частей проекта все основные службы предприятия будут работать 360 дней в году в режиме в 3 смены по 8 часов.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3"/>
        <w:gridCol w:w="1689"/>
        <w:gridCol w:w="2717"/>
        <w:gridCol w:w="1436"/>
      </w:tblGrid>
      <w:tr w:rsidR="0045066C" w:rsidRPr="0045066C" w:rsidTr="0045066C">
        <w:tc>
          <w:tcPr>
            <w:tcW w:w="0" w:type="auto"/>
            <w:shd w:val="clear" w:color="auto" w:fill="F1F1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Штатное расписание</w:t>
            </w:r>
          </w:p>
        </w:tc>
        <w:tc>
          <w:tcPr>
            <w:tcW w:w="0" w:type="auto"/>
            <w:shd w:val="clear" w:color="auto" w:fill="F1F1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Количество смен</w:t>
            </w:r>
          </w:p>
        </w:tc>
        <w:tc>
          <w:tcPr>
            <w:tcW w:w="0" w:type="auto"/>
            <w:shd w:val="clear" w:color="auto" w:fill="F1F1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Количество человек в смену</w:t>
            </w:r>
          </w:p>
        </w:tc>
        <w:tc>
          <w:tcPr>
            <w:tcW w:w="0" w:type="auto"/>
            <w:shd w:val="clear" w:color="auto" w:fill="F1F1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Всего человек</w:t>
            </w:r>
          </w:p>
        </w:tc>
      </w:tr>
      <w:tr w:rsidR="0045066C" w:rsidRPr="0045066C" w:rsidTr="0045066C"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Генеральный директор - Начальник Производства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</w:tr>
      <w:tr w:rsidR="0045066C" w:rsidRPr="0045066C" w:rsidTr="0045066C"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Главный бухгалтер - Заместитель по экономике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</w:tr>
      <w:tr w:rsidR="0045066C" w:rsidRPr="0045066C" w:rsidTr="0045066C"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Начальник смены - Наладчик оборудования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</w:tr>
      <w:tr w:rsidR="0045066C" w:rsidRPr="0045066C" w:rsidTr="0045066C"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Оператор производства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</w:tr>
      <w:tr w:rsidR="0045066C" w:rsidRPr="0045066C" w:rsidTr="0045066C"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Основные рабочие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9</w:t>
            </w:r>
          </w:p>
        </w:tc>
      </w:tr>
      <w:tr w:rsidR="0045066C" w:rsidRPr="0045066C" w:rsidTr="0045066C"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Вспомогательный персонал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</w:tr>
      <w:tr w:rsidR="0045066C" w:rsidRPr="0045066C" w:rsidTr="0045066C"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Водители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</w:t>
            </w:r>
          </w:p>
        </w:tc>
      </w:tr>
    </w:tbl>
    <w:p w:rsidR="0045066C" w:rsidRPr="0045066C" w:rsidRDefault="0045066C" w:rsidP="0045066C">
      <w:pPr>
        <w:shd w:val="clear" w:color="auto" w:fill="FFFFFF"/>
        <w:spacing w:before="375" w:after="75" w:line="285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45066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ПЛАН-ГРАФИК РЕАЛИЗАЦИИ ПРОЕКТА</w:t>
      </w:r>
    </w:p>
    <w:p w:rsidR="0045066C" w:rsidRPr="0045066C" w:rsidRDefault="0045066C" w:rsidP="00450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Начало кредитования;</w:t>
      </w:r>
    </w:p>
    <w:p w:rsidR="0045066C" w:rsidRPr="0045066C" w:rsidRDefault="0045066C" w:rsidP="00450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Начало ремонтных работ и размещение заказа на основное оборудование;</w:t>
      </w:r>
    </w:p>
    <w:p w:rsidR="0045066C" w:rsidRPr="0045066C" w:rsidRDefault="0045066C" w:rsidP="00450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Начало монтажных и пусконаладочных работ;</w:t>
      </w:r>
    </w:p>
    <w:p w:rsidR="0045066C" w:rsidRPr="0045066C" w:rsidRDefault="0045066C" w:rsidP="00450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Размещение заказа на вспомогательное оборудование;</w:t>
      </w:r>
    </w:p>
    <w:p w:rsidR="0045066C" w:rsidRPr="0045066C" w:rsidRDefault="0045066C" w:rsidP="00450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Получение необходимой разрешительной документации и лицензии;</w:t>
      </w:r>
    </w:p>
    <w:p w:rsidR="0045066C" w:rsidRPr="0045066C" w:rsidRDefault="0045066C" w:rsidP="00450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ПУСК В ЭКСПЛУАТАЦИЮ – 50% мощности;</w:t>
      </w:r>
    </w:p>
    <w:p w:rsidR="0045066C" w:rsidRPr="0045066C" w:rsidRDefault="0045066C" w:rsidP="00450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Выход на 80% мощности;</w:t>
      </w:r>
    </w:p>
    <w:p w:rsidR="0045066C" w:rsidRPr="0045066C" w:rsidRDefault="0045066C" w:rsidP="00450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Начало погашения заемных средств;</w:t>
      </w:r>
    </w:p>
    <w:p w:rsidR="0045066C" w:rsidRPr="0045066C" w:rsidRDefault="0045066C" w:rsidP="0045066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100% МОЩНОСТИ;</w:t>
      </w:r>
    </w:p>
    <w:p w:rsidR="0045066C" w:rsidRPr="0045066C" w:rsidRDefault="0045066C" w:rsidP="0045066C">
      <w:pPr>
        <w:shd w:val="clear" w:color="auto" w:fill="FFFFFF"/>
        <w:spacing w:before="375" w:after="75" w:line="285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45066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СЕБЕСТОИМОСТЬ. СТРУКТУРА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Структура себестоимости выпускаемой продукции является условно постоянной. Колебания долей основных статей затрат в течение рассматриваемого периода не превышают 5%.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105400" cy="2362200"/>
            <wp:effectExtent l="0" t="0" r="0" b="0"/>
            <wp:docPr id="3" name="Рисунок 3" descr="Структура себестоим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уктура себестоим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На диаграмме представлена усредненная структура себестоимости с 2011 по 2014 гг., т.к. в этот период колебания структуры менее значительны, что связано с постоянной работой предприятия на 100-процентную мощность.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структуре резко преобладают затраты на сырье и материалы (более 40%) и затраты на оплату труда и налоги на ФОТ (более 35%). Арендные платежи за производственные помещения составляют около 5%.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Доля амортизации в общей структуре затрат является самой непостоянной, что связано с ускоренной амортизацией. Ее средняя доля составляет около 14%, однако если в первый год работы доля амортизации составляет почти 20%, то с течением времени (в 2014 прогнозном году) она уменьшается до 9%.</w:t>
      </w:r>
    </w:p>
    <w:p w:rsidR="0045066C" w:rsidRPr="0045066C" w:rsidRDefault="0045066C" w:rsidP="0045066C">
      <w:pPr>
        <w:shd w:val="clear" w:color="auto" w:fill="FFFFFF"/>
        <w:spacing w:before="375" w:after="75" w:line="285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45066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ПРИБЫЛИ И УБЫТКИ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0"/>
        <w:gridCol w:w="689"/>
        <w:gridCol w:w="700"/>
        <w:gridCol w:w="824"/>
        <w:gridCol w:w="824"/>
        <w:gridCol w:w="824"/>
        <w:gridCol w:w="824"/>
      </w:tblGrid>
      <w:tr w:rsidR="0045066C" w:rsidRPr="0045066C" w:rsidTr="0045066C">
        <w:tc>
          <w:tcPr>
            <w:tcW w:w="0" w:type="auto"/>
            <w:shd w:val="clear" w:color="auto" w:fill="F1F1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Прогноз отчета о прибылях и убытках, тыс.руб.</w:t>
            </w:r>
          </w:p>
        </w:tc>
        <w:tc>
          <w:tcPr>
            <w:tcW w:w="0" w:type="auto"/>
            <w:shd w:val="clear" w:color="auto" w:fill="F1F1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2009</w:t>
            </w:r>
          </w:p>
        </w:tc>
        <w:tc>
          <w:tcPr>
            <w:tcW w:w="0" w:type="auto"/>
            <w:shd w:val="clear" w:color="auto" w:fill="F1F1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2010</w:t>
            </w:r>
          </w:p>
        </w:tc>
        <w:tc>
          <w:tcPr>
            <w:tcW w:w="0" w:type="auto"/>
            <w:shd w:val="clear" w:color="auto" w:fill="F1F1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2011</w:t>
            </w:r>
          </w:p>
        </w:tc>
        <w:tc>
          <w:tcPr>
            <w:tcW w:w="0" w:type="auto"/>
            <w:shd w:val="clear" w:color="auto" w:fill="F1F1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2012</w:t>
            </w:r>
          </w:p>
        </w:tc>
        <w:tc>
          <w:tcPr>
            <w:tcW w:w="0" w:type="auto"/>
            <w:shd w:val="clear" w:color="auto" w:fill="F1F1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2013</w:t>
            </w:r>
          </w:p>
        </w:tc>
        <w:tc>
          <w:tcPr>
            <w:tcW w:w="0" w:type="auto"/>
            <w:shd w:val="clear" w:color="auto" w:fill="F1F1F1"/>
            <w:tcMar>
              <w:top w:w="90" w:type="dxa"/>
              <w:left w:w="75" w:type="dxa"/>
              <w:bottom w:w="90" w:type="dxa"/>
              <w:right w:w="75" w:type="dxa"/>
            </w:tcMar>
            <w:vAlign w:val="center"/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b/>
                <w:bCs/>
                <w:color w:val="333333"/>
                <w:sz w:val="17"/>
                <w:szCs w:val="17"/>
                <w:lang w:eastAsia="ru-RU"/>
              </w:rPr>
              <w:t>2014</w:t>
            </w:r>
          </w:p>
        </w:tc>
      </w:tr>
      <w:tr w:rsidR="0045066C" w:rsidRPr="0045066C" w:rsidTr="0045066C"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Выручка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45066C" w:rsidRPr="0045066C" w:rsidTr="0045066C"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Полная себестоимость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45066C" w:rsidRPr="0045066C" w:rsidTr="0045066C"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Обслуживание долга (выплата % по кредиту)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45066C" w:rsidRPr="0045066C" w:rsidTr="0045066C"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Прибыль/убыток до налогооблажения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45066C" w:rsidRPr="0045066C" w:rsidTr="0045066C"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УСН 15%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45066C" w:rsidRPr="0045066C" w:rsidTr="0045066C"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УСН 6% (справочно)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45066C" w:rsidRPr="0045066C" w:rsidTr="0045066C"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Чистая прибыль/убыток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45066C" w:rsidRPr="0045066C" w:rsidTr="0045066C"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EBITDA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-</w:t>
            </w:r>
          </w:p>
        </w:tc>
      </w:tr>
      <w:tr w:rsidR="0045066C" w:rsidRPr="0045066C" w:rsidTr="0045066C"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Рентабельность продаж (ROS)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1.3%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15.7%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18.5%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24.8%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28.2%</w:t>
            </w:r>
          </w:p>
        </w:tc>
      </w:tr>
      <w:tr w:rsidR="0045066C" w:rsidRPr="0045066C" w:rsidTr="0045066C"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Рентабельность продукции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2.8%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24.7%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28.5%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42.6%</w:t>
            </w:r>
          </w:p>
        </w:tc>
        <w:tc>
          <w:tcPr>
            <w:tcW w:w="0" w:type="auto"/>
            <w:tcBorders>
              <w:bottom w:val="dotted" w:sz="6" w:space="0" w:color="DFDFDF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45066C" w:rsidRPr="0045066C" w:rsidRDefault="0045066C" w:rsidP="0045066C">
            <w:pPr>
              <w:spacing w:after="75" w:line="225" w:lineRule="atLeast"/>
              <w:jc w:val="center"/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</w:pPr>
            <w:r w:rsidRPr="0045066C">
              <w:rPr>
                <w:rFonts w:ascii="Arial" w:eastAsia="Times New Roman" w:hAnsi="Arial" w:cs="Arial"/>
                <w:color w:val="333333"/>
                <w:sz w:val="17"/>
                <w:szCs w:val="17"/>
                <w:lang w:eastAsia="ru-RU"/>
              </w:rPr>
              <w:t>49.9%</w:t>
            </w:r>
          </w:p>
        </w:tc>
      </w:tr>
    </w:tbl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таблице представлен прогноз о прибылях и убытках.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Прогноз ежегодного оборота компании не превышает установленного лимита для компаний использующих упрощенную систему налогоблажения (УСН). Для выбора оптимального режима налогоблажения в таблице 4.9. приведены расчеты различных вариантов: «УСН доходы» и «УСН доходы, уменьшенные на величину расходов». Как видно из таблицы оптимальным вариантом налогоблажения является «УСН 15%», которая </w:t>
      </w: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дает экономию размером более 2,7 миллиона рублей за весь период, что особенно чувствительно в 2010 и 2011 расчетных года.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4143375" cy="1638300"/>
            <wp:effectExtent l="0" t="0" r="9525" b="0"/>
            <wp:docPr id="2" name="Рисунок 2" descr="Рентабельность продаж и рентабельность прод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нтабельность продаж и рентабельность продукци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066C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График демонстрирует уровни рентабельности продаж (отношение чистой прибыли к выручке) и рентабельности продукции (отношение прибыли до н/о к полной себестоимости). Показатели растут на всем рассматриваемом периоде реализации проекта, что свидетельствует о его эффективности.</w:t>
      </w:r>
    </w:p>
    <w:p w:rsidR="0045066C" w:rsidRPr="0045066C" w:rsidRDefault="0045066C" w:rsidP="0045066C">
      <w:pPr>
        <w:shd w:val="clear" w:color="auto" w:fill="FFFFFF"/>
        <w:spacing w:before="375" w:after="75" w:line="285" w:lineRule="atLeast"/>
        <w:outlineLvl w:val="1"/>
        <w:rPr>
          <w:rFonts w:ascii="Arial" w:eastAsia="Times New Roman" w:hAnsi="Arial" w:cs="Arial"/>
          <w:color w:val="222222"/>
          <w:sz w:val="26"/>
          <w:szCs w:val="26"/>
          <w:lang w:eastAsia="ru-RU"/>
        </w:rPr>
      </w:pPr>
      <w:r w:rsidRPr="0045066C">
        <w:rPr>
          <w:rFonts w:ascii="Arial" w:eastAsia="Times New Roman" w:hAnsi="Arial" w:cs="Arial"/>
          <w:color w:val="222222"/>
          <w:sz w:val="26"/>
          <w:szCs w:val="26"/>
          <w:lang w:eastAsia="ru-RU"/>
        </w:rPr>
        <w:t>СХЕМА ПРОИЗВОДСТВЕННОЙ ЛИНИИ ПО ВЫПУСКУ ТОПЛИВНЫХ БРИКЕТОВ</w:t>
      </w:r>
    </w:p>
    <w:p w:rsidR="0045066C" w:rsidRPr="0045066C" w:rsidRDefault="0045066C" w:rsidP="0045066C">
      <w:pPr>
        <w:shd w:val="clear" w:color="auto" w:fill="FFFFFF"/>
        <w:spacing w:before="100" w:beforeAutospacing="1" w:after="100" w:afterAutospacing="1" w:line="285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715000" cy="3238500"/>
            <wp:effectExtent l="0" t="0" r="0" b="0"/>
            <wp:docPr id="1" name="Рисунок 1" descr="СХЕМА ПРОИЗВОДСТВЕННОЙ ЛИНИИ ПО ВЫПУСКУ ТОПЛИВНЫХ БРИКЕ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ХЕМА ПРОИЗВОДСТВЕННОЙ ЛИНИИ ПО ВЫПУСКУ ТОПЛИВНЫХ БРИКЕ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6662" w:rsidRDefault="00F16662">
      <w:bookmarkStart w:id="1" w:name="_GoBack"/>
      <w:bookmarkEnd w:id="1"/>
    </w:p>
    <w:sectPr w:rsidR="00F16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90F"/>
    <w:multiLevelType w:val="multilevel"/>
    <w:tmpl w:val="3EE8B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F4F"/>
    <w:rsid w:val="0045066C"/>
    <w:rsid w:val="00491F4F"/>
    <w:rsid w:val="00F1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0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0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0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6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50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506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066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06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50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1440</Words>
  <Characters>8212</Characters>
  <Application>Microsoft Office Word</Application>
  <DocSecurity>0</DocSecurity>
  <Lines>68</Lines>
  <Paragraphs>19</Paragraphs>
  <ScaleCrop>false</ScaleCrop>
  <Company/>
  <LinksUpToDate>false</LinksUpToDate>
  <CharactersWithSpaces>9633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Райцев</dc:creator>
  <cp:keywords/>
  <dc:description/>
  <cp:lastModifiedBy>Райцев</cp:lastModifiedBy>
  <cp:revision>3</cp:revision>
  <dcterms:created xsi:type="dcterms:W3CDTF">2012-08-15T10:30:00Z</dcterms:created>
  <dcterms:modified xsi:type="dcterms:W3CDTF">2012-08-15T10:31:00Z</dcterms:modified>
</cp:coreProperties>
</file>